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5A" w:rsidRPr="0053189A" w:rsidRDefault="00ED6790" w:rsidP="00ED6790">
      <w:pPr>
        <w:jc w:val="center"/>
        <w:rPr>
          <w:rFonts w:ascii="標楷體" w:eastAsia="標楷體" w:hAnsi="標楷體"/>
          <w:sz w:val="32"/>
          <w:szCs w:val="32"/>
        </w:rPr>
      </w:pPr>
      <w:r w:rsidRPr="0053189A">
        <w:rPr>
          <w:rFonts w:ascii="標楷體" w:eastAsia="標楷體" w:hAnsi="標楷體" w:hint="eastAsia"/>
          <w:sz w:val="32"/>
          <w:szCs w:val="32"/>
        </w:rPr>
        <w:t>桃園市市立國民小學及幼兒園教師介聘市內他校服務注意事項</w:t>
      </w:r>
      <w:r w:rsidRPr="0053189A">
        <w:rPr>
          <w:rFonts w:ascii="標楷體" w:eastAsia="標楷體" w:hAnsi="標楷體" w:hint="eastAsia"/>
          <w:sz w:val="32"/>
          <w:szCs w:val="32"/>
        </w:rPr>
        <w:t>修正對照表</w:t>
      </w:r>
    </w:p>
    <w:tbl>
      <w:tblPr>
        <w:tblStyle w:val="a3"/>
        <w:tblW w:w="10768" w:type="dxa"/>
        <w:tblLook w:val="04A0" w:firstRow="1" w:lastRow="0" w:firstColumn="1" w:lastColumn="0" w:noHBand="0" w:noVBand="1"/>
      </w:tblPr>
      <w:tblGrid>
        <w:gridCol w:w="4531"/>
        <w:gridCol w:w="4678"/>
        <w:gridCol w:w="1559"/>
      </w:tblGrid>
      <w:tr w:rsidR="00ED6790" w:rsidTr="0053189A">
        <w:trPr>
          <w:trHeight w:val="403"/>
        </w:trPr>
        <w:tc>
          <w:tcPr>
            <w:tcW w:w="4531" w:type="dxa"/>
          </w:tcPr>
          <w:p w:rsidR="00ED6790" w:rsidRPr="0053189A" w:rsidRDefault="00ED6790" w:rsidP="0053189A">
            <w:pPr>
              <w:spacing w:line="340" w:lineRule="exact"/>
              <w:jc w:val="distribute"/>
              <w:rPr>
                <w:rFonts w:ascii="標楷體" w:eastAsia="標楷體" w:hAnsi="標楷體" w:hint="eastAsia"/>
                <w:sz w:val="28"/>
                <w:szCs w:val="28"/>
              </w:rPr>
            </w:pPr>
            <w:r w:rsidRPr="0053189A">
              <w:rPr>
                <w:rFonts w:ascii="標楷體" w:eastAsia="標楷體" w:hAnsi="標楷體" w:hint="eastAsia"/>
                <w:sz w:val="28"/>
                <w:szCs w:val="28"/>
              </w:rPr>
              <w:t>修正規定</w:t>
            </w:r>
          </w:p>
        </w:tc>
        <w:tc>
          <w:tcPr>
            <w:tcW w:w="4678" w:type="dxa"/>
          </w:tcPr>
          <w:p w:rsidR="00ED6790" w:rsidRPr="0053189A" w:rsidRDefault="00ED6790" w:rsidP="0053189A">
            <w:pPr>
              <w:spacing w:line="340" w:lineRule="exact"/>
              <w:jc w:val="distribute"/>
              <w:rPr>
                <w:rFonts w:ascii="標楷體" w:eastAsia="標楷體" w:hAnsi="標楷體" w:hint="eastAsia"/>
                <w:sz w:val="28"/>
                <w:szCs w:val="28"/>
              </w:rPr>
            </w:pPr>
            <w:r w:rsidRPr="0053189A">
              <w:rPr>
                <w:rFonts w:ascii="標楷體" w:eastAsia="標楷體" w:hAnsi="標楷體" w:hint="eastAsia"/>
                <w:sz w:val="28"/>
                <w:szCs w:val="28"/>
              </w:rPr>
              <w:t>現行規定</w:t>
            </w:r>
          </w:p>
        </w:tc>
        <w:tc>
          <w:tcPr>
            <w:tcW w:w="1559" w:type="dxa"/>
          </w:tcPr>
          <w:p w:rsidR="00ED6790" w:rsidRPr="0053189A" w:rsidRDefault="00ED6790" w:rsidP="0053189A">
            <w:pPr>
              <w:spacing w:line="340" w:lineRule="exact"/>
              <w:jc w:val="distribute"/>
              <w:rPr>
                <w:rFonts w:ascii="標楷體" w:eastAsia="標楷體" w:hAnsi="標楷體" w:hint="eastAsia"/>
                <w:sz w:val="28"/>
                <w:szCs w:val="28"/>
              </w:rPr>
            </w:pPr>
            <w:r w:rsidRPr="0053189A">
              <w:rPr>
                <w:rFonts w:ascii="標楷體" w:eastAsia="標楷體" w:hAnsi="標楷體" w:hint="eastAsia"/>
                <w:sz w:val="28"/>
                <w:szCs w:val="28"/>
              </w:rPr>
              <w:t>備註</w:t>
            </w:r>
          </w:p>
        </w:tc>
      </w:tr>
      <w:tr w:rsidR="00ED6790" w:rsidTr="00C71C9D">
        <w:tc>
          <w:tcPr>
            <w:tcW w:w="4531" w:type="dxa"/>
          </w:tcPr>
          <w:p w:rsidR="00ED6790" w:rsidRPr="0053189A" w:rsidRDefault="00ED6790" w:rsidP="0053189A">
            <w:pPr>
              <w:spacing w:line="340" w:lineRule="exact"/>
              <w:jc w:val="both"/>
              <w:rPr>
                <w:rFonts w:ascii="標楷體" w:eastAsia="標楷體" w:hAnsi="標楷體"/>
                <w:sz w:val="28"/>
                <w:szCs w:val="28"/>
              </w:rPr>
            </w:pPr>
            <w:r w:rsidRPr="0053189A">
              <w:rPr>
                <w:rFonts w:ascii="標楷體" w:eastAsia="標楷體" w:hAnsi="標楷體" w:hint="eastAsia"/>
                <w:sz w:val="28"/>
                <w:szCs w:val="28"/>
              </w:rPr>
              <w:t>三、(四)第2項</w:t>
            </w:r>
          </w:p>
          <w:p w:rsidR="00ED6790" w:rsidRPr="0053189A" w:rsidRDefault="00ED6790" w:rsidP="0053189A">
            <w:pPr>
              <w:spacing w:line="340" w:lineRule="exact"/>
              <w:jc w:val="both"/>
              <w:rPr>
                <w:rFonts w:ascii="標楷體" w:eastAsia="標楷體" w:hAnsi="標楷體" w:hint="eastAsia"/>
                <w:sz w:val="28"/>
                <w:szCs w:val="28"/>
              </w:rPr>
            </w:pPr>
            <w:r w:rsidRPr="0053189A">
              <w:rPr>
                <w:rFonts w:ascii="標楷體" w:eastAsia="標楷體" w:hAnsi="標楷體" w:hint="eastAsia"/>
                <w:sz w:val="28"/>
                <w:szCs w:val="28"/>
                <w:u w:val="single"/>
              </w:rPr>
              <w:t>教師無教師法、國民中小學校長主任教師甄選儲訓及介聘辦法規範不得申請介聘之各款情事者，始得申請市內介聘</w:t>
            </w:r>
            <w:r w:rsidRPr="0053189A">
              <w:rPr>
                <w:rFonts w:ascii="標楷體" w:eastAsia="標楷體" w:hAnsi="標楷體" w:hint="eastAsia"/>
                <w:sz w:val="28"/>
                <w:szCs w:val="28"/>
              </w:rPr>
              <w:t>。</w:t>
            </w:r>
          </w:p>
        </w:tc>
        <w:tc>
          <w:tcPr>
            <w:tcW w:w="4678" w:type="dxa"/>
          </w:tcPr>
          <w:p w:rsidR="00ED6790" w:rsidRPr="0053189A" w:rsidRDefault="00ED6790" w:rsidP="0053189A">
            <w:pPr>
              <w:spacing w:line="340" w:lineRule="exact"/>
              <w:jc w:val="both"/>
              <w:rPr>
                <w:rFonts w:ascii="標楷體" w:eastAsia="標楷體" w:hAnsi="標楷體"/>
                <w:sz w:val="28"/>
                <w:szCs w:val="28"/>
              </w:rPr>
            </w:pPr>
            <w:r w:rsidRPr="0053189A">
              <w:rPr>
                <w:rFonts w:ascii="標楷體" w:eastAsia="標楷體" w:hAnsi="標楷體" w:hint="eastAsia"/>
                <w:sz w:val="28"/>
                <w:szCs w:val="28"/>
              </w:rPr>
              <w:t>三、(四)第2項</w:t>
            </w:r>
            <w:r w:rsidRPr="0053189A">
              <w:rPr>
                <w:rFonts w:ascii="標楷體" w:eastAsia="標楷體" w:hAnsi="標楷體"/>
                <w:sz w:val="28"/>
                <w:szCs w:val="28"/>
              </w:rPr>
              <w:t xml:space="preserve"> </w:t>
            </w:r>
          </w:p>
          <w:p w:rsidR="00ED6790" w:rsidRPr="0053189A" w:rsidRDefault="00ED6790" w:rsidP="0053189A">
            <w:pPr>
              <w:spacing w:line="340" w:lineRule="exact"/>
              <w:jc w:val="both"/>
              <w:rPr>
                <w:rFonts w:ascii="標楷體" w:eastAsia="標楷體" w:hAnsi="標楷體"/>
                <w:sz w:val="28"/>
                <w:szCs w:val="28"/>
              </w:rPr>
            </w:pPr>
            <w:r w:rsidRPr="0053189A">
              <w:rPr>
                <w:rFonts w:ascii="標楷體" w:eastAsia="標楷體" w:hAnsi="標楷體" w:hint="eastAsia"/>
                <w:sz w:val="28"/>
                <w:szCs w:val="28"/>
              </w:rPr>
              <w:t>教師有下列各款情事之一者，不得申請市內介聘：</w:t>
            </w:r>
          </w:p>
          <w:p w:rsidR="00ED6790" w:rsidRPr="0053189A" w:rsidRDefault="00ED6790" w:rsidP="0053189A">
            <w:pPr>
              <w:spacing w:line="340" w:lineRule="exact"/>
              <w:ind w:left="599" w:hangingChars="214" w:hanging="599"/>
              <w:jc w:val="both"/>
              <w:rPr>
                <w:rFonts w:ascii="標楷體" w:eastAsia="標楷體" w:hAnsi="標楷體"/>
                <w:sz w:val="28"/>
                <w:szCs w:val="28"/>
              </w:rPr>
            </w:pPr>
            <w:r w:rsidRPr="0053189A">
              <w:rPr>
                <w:rFonts w:ascii="標楷體" w:eastAsia="標楷體" w:hAnsi="標楷體" w:hint="eastAsia"/>
                <w:sz w:val="28"/>
                <w:szCs w:val="28"/>
              </w:rPr>
              <w:t>(一)教師法第十四條第一項各款情事之一。</w:t>
            </w:r>
          </w:p>
          <w:p w:rsidR="00ED6790" w:rsidRPr="0053189A" w:rsidRDefault="00ED6790" w:rsidP="0053189A">
            <w:pPr>
              <w:spacing w:line="340" w:lineRule="exact"/>
              <w:ind w:left="535" w:hangingChars="191" w:hanging="535"/>
              <w:jc w:val="both"/>
              <w:rPr>
                <w:rFonts w:ascii="標楷體" w:eastAsia="標楷體" w:hAnsi="標楷體"/>
                <w:sz w:val="28"/>
                <w:szCs w:val="28"/>
              </w:rPr>
            </w:pPr>
            <w:r w:rsidRPr="0053189A">
              <w:rPr>
                <w:rFonts w:ascii="標楷體" w:eastAsia="標楷體" w:hAnsi="標楷體" w:hint="eastAsia"/>
                <w:sz w:val="28"/>
                <w:szCs w:val="28"/>
              </w:rPr>
              <w:t>(二)涉校園性侵害、性騷擾或性霸凌事件，尚在調查階段。</w:t>
            </w:r>
          </w:p>
          <w:p w:rsidR="00ED6790" w:rsidRPr="0053189A" w:rsidRDefault="00ED6790" w:rsidP="0053189A">
            <w:pPr>
              <w:spacing w:line="340" w:lineRule="exact"/>
              <w:ind w:left="599" w:hangingChars="214" w:hanging="599"/>
              <w:jc w:val="both"/>
              <w:rPr>
                <w:rFonts w:ascii="標楷體" w:eastAsia="標楷體" w:hAnsi="標楷體"/>
                <w:sz w:val="28"/>
                <w:szCs w:val="28"/>
              </w:rPr>
            </w:pPr>
            <w:r w:rsidRPr="0053189A">
              <w:rPr>
                <w:rFonts w:ascii="標楷體" w:eastAsia="標楷體" w:hAnsi="標楷體" w:hint="eastAsia"/>
                <w:sz w:val="28"/>
                <w:szCs w:val="28"/>
              </w:rPr>
              <w:t>(三)已進入不適任教師處理流程輔導期及評議期。</w:t>
            </w:r>
          </w:p>
          <w:p w:rsidR="00ED6790" w:rsidRPr="0053189A" w:rsidRDefault="00ED6790" w:rsidP="0053189A">
            <w:pPr>
              <w:spacing w:line="340" w:lineRule="exact"/>
              <w:ind w:left="599" w:hangingChars="214" w:hanging="599"/>
              <w:jc w:val="both"/>
              <w:rPr>
                <w:rFonts w:ascii="標楷體" w:eastAsia="標楷體" w:hAnsi="標楷體" w:hint="eastAsia"/>
                <w:sz w:val="28"/>
                <w:szCs w:val="28"/>
              </w:rPr>
            </w:pPr>
            <w:r w:rsidRPr="0053189A">
              <w:rPr>
                <w:rFonts w:ascii="標楷體" w:eastAsia="標楷體" w:hAnsi="標楷體"/>
                <w:sz w:val="28"/>
                <w:szCs w:val="28"/>
              </w:rPr>
              <w:t>(</w:t>
            </w:r>
            <w:r w:rsidRPr="0053189A">
              <w:rPr>
                <w:rFonts w:ascii="標楷體" w:eastAsia="標楷體" w:hAnsi="標楷體" w:hint="eastAsia"/>
                <w:sz w:val="28"/>
                <w:szCs w:val="28"/>
              </w:rPr>
              <w:t>四)中華民國九十二年八月一日師資培育公費助學金及分發服務辦法修正施行後入學之公費學生，於義務服務期間。</w:t>
            </w:r>
          </w:p>
        </w:tc>
        <w:tc>
          <w:tcPr>
            <w:tcW w:w="1559" w:type="dxa"/>
          </w:tcPr>
          <w:p w:rsidR="00ED6790" w:rsidRPr="0053189A" w:rsidRDefault="00ED6790" w:rsidP="0053189A">
            <w:pPr>
              <w:spacing w:line="340" w:lineRule="exact"/>
              <w:jc w:val="both"/>
              <w:rPr>
                <w:rFonts w:ascii="標楷體" w:eastAsia="標楷體" w:hAnsi="標楷體" w:hint="eastAsia"/>
                <w:sz w:val="28"/>
                <w:szCs w:val="28"/>
              </w:rPr>
            </w:pPr>
          </w:p>
        </w:tc>
      </w:tr>
      <w:tr w:rsidR="00ED6790" w:rsidTr="0053189A">
        <w:trPr>
          <w:trHeight w:val="5143"/>
        </w:trPr>
        <w:tc>
          <w:tcPr>
            <w:tcW w:w="4531" w:type="dxa"/>
          </w:tcPr>
          <w:p w:rsidR="00ED6790" w:rsidRPr="0053189A" w:rsidRDefault="00ED6790" w:rsidP="0053189A">
            <w:pPr>
              <w:spacing w:line="340" w:lineRule="exact"/>
              <w:jc w:val="both"/>
              <w:rPr>
                <w:rFonts w:ascii="標楷體" w:eastAsia="標楷體" w:hAnsi="標楷體"/>
                <w:sz w:val="28"/>
                <w:szCs w:val="28"/>
                <w:u w:val="single"/>
              </w:rPr>
            </w:pPr>
            <w:r w:rsidRPr="0053189A">
              <w:rPr>
                <w:rFonts w:ascii="標楷體" w:eastAsia="標楷體" w:hAnsi="標楷體" w:hint="eastAsia"/>
                <w:sz w:val="28"/>
                <w:szCs w:val="28"/>
              </w:rPr>
              <w:t>九、</w:t>
            </w:r>
            <w:r w:rsidRPr="0053189A">
              <w:rPr>
                <w:rFonts w:ascii="標楷體" w:eastAsia="標楷體" w:hAnsi="標楷體"/>
                <w:sz w:val="28"/>
                <w:szCs w:val="28"/>
              </w:rPr>
              <w:t>(</w:t>
            </w:r>
            <w:r w:rsidRPr="0053189A">
              <w:rPr>
                <w:rFonts w:ascii="標楷體" w:eastAsia="標楷體" w:hAnsi="標楷體" w:hint="eastAsia"/>
                <w:sz w:val="28"/>
                <w:szCs w:val="28"/>
              </w:rPr>
              <w:t>四</w:t>
            </w:r>
            <w:r w:rsidRPr="0053189A">
              <w:rPr>
                <w:rFonts w:ascii="標楷體" w:eastAsia="標楷體" w:hAnsi="標楷體"/>
                <w:sz w:val="28"/>
                <w:szCs w:val="28"/>
              </w:rPr>
              <w:t xml:space="preserve">) </w:t>
            </w:r>
            <w:r w:rsidRPr="0053189A">
              <w:rPr>
                <w:rFonts w:ascii="標楷體" w:eastAsia="標楷體" w:hAnsi="標楷體" w:hint="eastAsia"/>
                <w:sz w:val="28"/>
                <w:szCs w:val="28"/>
                <w:u w:val="single"/>
              </w:rPr>
              <w:t>進修：總計最高十分，其中數位研習最高五分。</w:t>
            </w:r>
          </w:p>
          <w:p w:rsidR="00ED6790" w:rsidRPr="0053189A" w:rsidRDefault="00C71C9D" w:rsidP="0053189A">
            <w:pPr>
              <w:spacing w:line="340" w:lineRule="exact"/>
              <w:ind w:left="199" w:hangingChars="71" w:hanging="199"/>
              <w:jc w:val="both"/>
              <w:rPr>
                <w:rFonts w:ascii="標楷體" w:eastAsia="標楷體" w:hAnsi="標楷體"/>
                <w:sz w:val="28"/>
                <w:szCs w:val="28"/>
                <w:u w:val="single"/>
              </w:rPr>
            </w:pPr>
            <w:r w:rsidRPr="0053189A">
              <w:rPr>
                <w:rFonts w:ascii="標楷體" w:eastAsia="標楷體" w:hAnsi="標楷體" w:hint="eastAsia"/>
                <w:sz w:val="28"/>
                <w:szCs w:val="28"/>
                <w:u w:val="single"/>
              </w:rPr>
              <w:t>1.</w:t>
            </w:r>
            <w:r w:rsidR="00ED6790" w:rsidRPr="0053189A">
              <w:rPr>
                <w:rFonts w:ascii="標楷體" w:eastAsia="標楷體" w:hAnsi="標楷體" w:hint="eastAsia"/>
                <w:sz w:val="28"/>
                <w:szCs w:val="28"/>
                <w:u w:val="single"/>
              </w:rPr>
              <w:t>研習：在本市最近五年現職任內依「教師進修研究等專業發展辦法」規定，經服務學校或主管教育行政機關主動薦送、指派或同意參加具主管教育行政機關核准文號之進修、研習，始得採計。</w:t>
            </w:r>
            <w:bookmarkStart w:id="0" w:name="_GoBack"/>
            <w:bookmarkEnd w:id="0"/>
            <w:r w:rsidR="00ED6790" w:rsidRPr="0053189A">
              <w:rPr>
                <w:rFonts w:ascii="標楷體" w:eastAsia="標楷體" w:hAnsi="標楷體" w:hint="eastAsia"/>
                <w:sz w:val="28"/>
                <w:szCs w:val="28"/>
                <w:u w:val="single"/>
              </w:rPr>
              <w:t>一週以三十五小時計。</w:t>
            </w:r>
          </w:p>
          <w:p w:rsidR="00ED6790" w:rsidRPr="0053189A" w:rsidRDefault="00ED6790" w:rsidP="0053189A">
            <w:pPr>
              <w:spacing w:line="340" w:lineRule="exact"/>
              <w:ind w:left="199" w:hangingChars="71" w:hanging="199"/>
              <w:jc w:val="both"/>
              <w:rPr>
                <w:rFonts w:ascii="標楷體" w:eastAsia="標楷體" w:hAnsi="標楷體" w:hint="eastAsia"/>
                <w:sz w:val="28"/>
                <w:szCs w:val="28"/>
              </w:rPr>
            </w:pPr>
            <w:r w:rsidRPr="0053189A">
              <w:rPr>
                <w:rFonts w:ascii="標楷體" w:eastAsia="標楷體" w:hAnsi="標楷體"/>
                <w:sz w:val="28"/>
                <w:szCs w:val="28"/>
                <w:u w:val="single"/>
              </w:rPr>
              <w:t>2</w:t>
            </w:r>
            <w:r w:rsidR="00C71C9D" w:rsidRPr="0053189A">
              <w:rPr>
                <w:rFonts w:ascii="標楷體" w:eastAsia="標楷體" w:hAnsi="標楷體"/>
                <w:sz w:val="28"/>
                <w:szCs w:val="28"/>
                <w:u w:val="single"/>
              </w:rPr>
              <w:t>.</w:t>
            </w:r>
            <w:r w:rsidRPr="0053189A">
              <w:rPr>
                <w:rFonts w:ascii="標楷體" w:eastAsia="標楷體" w:hAnsi="標楷體" w:hint="eastAsia"/>
                <w:sz w:val="28"/>
                <w:szCs w:val="28"/>
                <w:u w:val="single"/>
              </w:rPr>
              <w:t>學分：在本市最近五年現職任內依「教師進修研究等專業發展辦法」規定，由服務學校基於教學或業務需要，主動薦送、指派或同意至教育部認定之大專院校進修的學位或學分均予採計。學分逐年採計，以成績單或學分證明書為認定標準。</w:t>
            </w:r>
          </w:p>
        </w:tc>
        <w:tc>
          <w:tcPr>
            <w:tcW w:w="4678" w:type="dxa"/>
          </w:tcPr>
          <w:p w:rsidR="00ED6790" w:rsidRPr="0053189A" w:rsidRDefault="00ED6790" w:rsidP="0053189A">
            <w:pPr>
              <w:spacing w:line="340" w:lineRule="exact"/>
              <w:jc w:val="both"/>
              <w:rPr>
                <w:rFonts w:ascii="標楷體" w:eastAsia="標楷體" w:hAnsi="標楷體"/>
                <w:sz w:val="28"/>
                <w:szCs w:val="28"/>
              </w:rPr>
            </w:pPr>
            <w:r w:rsidRPr="0053189A">
              <w:rPr>
                <w:rFonts w:ascii="標楷體" w:eastAsia="標楷體" w:hAnsi="標楷體" w:hint="eastAsia"/>
                <w:sz w:val="28"/>
                <w:szCs w:val="28"/>
              </w:rPr>
              <w:t>九、</w:t>
            </w:r>
            <w:r w:rsidRPr="0053189A">
              <w:rPr>
                <w:rFonts w:ascii="標楷體" w:eastAsia="標楷體" w:hAnsi="標楷體"/>
                <w:sz w:val="28"/>
                <w:szCs w:val="28"/>
              </w:rPr>
              <w:t>(</w:t>
            </w:r>
            <w:r w:rsidRPr="0053189A">
              <w:rPr>
                <w:rFonts w:ascii="標楷體" w:eastAsia="標楷體" w:hAnsi="標楷體" w:hint="eastAsia"/>
                <w:sz w:val="28"/>
                <w:szCs w:val="28"/>
              </w:rPr>
              <w:t>四</w:t>
            </w:r>
            <w:r w:rsidRPr="0053189A">
              <w:rPr>
                <w:rFonts w:ascii="標楷體" w:eastAsia="標楷體" w:hAnsi="標楷體"/>
                <w:sz w:val="28"/>
                <w:szCs w:val="28"/>
              </w:rPr>
              <w:t xml:space="preserve">) </w:t>
            </w:r>
            <w:r w:rsidRPr="0053189A">
              <w:rPr>
                <w:rFonts w:ascii="標楷體" w:eastAsia="標楷體" w:hAnsi="標楷體" w:hint="eastAsia"/>
                <w:sz w:val="28"/>
                <w:szCs w:val="28"/>
              </w:rPr>
              <w:t>進修：</w:t>
            </w:r>
          </w:p>
          <w:p w:rsidR="00ED6790" w:rsidRPr="0053189A" w:rsidRDefault="00ED6790" w:rsidP="0053189A">
            <w:pPr>
              <w:spacing w:line="340" w:lineRule="exact"/>
              <w:ind w:left="280" w:hangingChars="100" w:hanging="280"/>
              <w:jc w:val="both"/>
              <w:rPr>
                <w:rFonts w:ascii="標楷體" w:eastAsia="標楷體" w:hAnsi="標楷體"/>
                <w:sz w:val="28"/>
                <w:szCs w:val="28"/>
              </w:rPr>
            </w:pPr>
            <w:r w:rsidRPr="0053189A">
              <w:rPr>
                <w:rFonts w:ascii="標楷體" w:eastAsia="標楷體" w:hAnsi="標楷體"/>
                <w:sz w:val="28"/>
                <w:szCs w:val="28"/>
              </w:rPr>
              <w:t>1</w:t>
            </w:r>
            <w:r w:rsidR="00C71C9D" w:rsidRPr="0053189A">
              <w:rPr>
                <w:rFonts w:ascii="標楷體" w:eastAsia="標楷體" w:hAnsi="標楷體"/>
                <w:sz w:val="28"/>
                <w:szCs w:val="28"/>
              </w:rPr>
              <w:t>.</w:t>
            </w:r>
            <w:r w:rsidRPr="0053189A">
              <w:rPr>
                <w:rFonts w:ascii="標楷體" w:eastAsia="標楷體" w:hAnsi="標楷體" w:hint="eastAsia"/>
                <w:sz w:val="28"/>
                <w:szCs w:val="28"/>
              </w:rPr>
              <w:t>在教育部認定之大專院校進修，所取得之學分證明書或成績證明，均予採計。</w:t>
            </w:r>
          </w:p>
          <w:p w:rsidR="00ED6790" w:rsidRPr="0053189A" w:rsidRDefault="00ED6790" w:rsidP="0053189A">
            <w:pPr>
              <w:spacing w:line="340" w:lineRule="exact"/>
              <w:ind w:left="280" w:hangingChars="100" w:hanging="280"/>
              <w:jc w:val="both"/>
              <w:rPr>
                <w:rFonts w:ascii="標楷體" w:eastAsia="標楷體" w:hAnsi="標楷體"/>
                <w:sz w:val="28"/>
                <w:szCs w:val="28"/>
              </w:rPr>
            </w:pPr>
            <w:r w:rsidRPr="0053189A">
              <w:rPr>
                <w:rFonts w:ascii="標楷體" w:eastAsia="標楷體" w:hAnsi="標楷體"/>
                <w:sz w:val="28"/>
                <w:szCs w:val="28"/>
              </w:rPr>
              <w:t>2</w:t>
            </w:r>
            <w:r w:rsidR="00C71C9D" w:rsidRPr="0053189A">
              <w:rPr>
                <w:rFonts w:ascii="標楷體" w:eastAsia="標楷體" w:hAnsi="標楷體"/>
                <w:sz w:val="28"/>
                <w:szCs w:val="28"/>
              </w:rPr>
              <w:t>.</w:t>
            </w:r>
            <w:r w:rsidRPr="0053189A">
              <w:rPr>
                <w:rFonts w:ascii="標楷體" w:eastAsia="標楷體" w:hAnsi="標楷體" w:hint="eastAsia"/>
                <w:sz w:val="28"/>
                <w:szCs w:val="28"/>
              </w:rPr>
              <w:t>主管教育行政機關辦理或委託辦理之研習進修，均予採計。</w:t>
            </w:r>
          </w:p>
          <w:p w:rsidR="00ED6790" w:rsidRPr="0053189A" w:rsidRDefault="00ED6790" w:rsidP="0053189A">
            <w:pPr>
              <w:spacing w:line="340" w:lineRule="exact"/>
              <w:jc w:val="both"/>
              <w:rPr>
                <w:rFonts w:ascii="標楷體" w:eastAsia="標楷體" w:hAnsi="標楷體" w:hint="eastAsia"/>
                <w:sz w:val="28"/>
                <w:szCs w:val="28"/>
              </w:rPr>
            </w:pPr>
          </w:p>
        </w:tc>
        <w:tc>
          <w:tcPr>
            <w:tcW w:w="1559" w:type="dxa"/>
          </w:tcPr>
          <w:p w:rsidR="00ED6790" w:rsidRPr="0053189A" w:rsidRDefault="00ED6790" w:rsidP="0053189A">
            <w:pPr>
              <w:spacing w:line="340" w:lineRule="exact"/>
              <w:jc w:val="both"/>
              <w:rPr>
                <w:rFonts w:ascii="標楷體" w:eastAsia="標楷體" w:hAnsi="標楷體" w:hint="eastAsia"/>
                <w:sz w:val="28"/>
                <w:szCs w:val="28"/>
              </w:rPr>
            </w:pPr>
          </w:p>
        </w:tc>
      </w:tr>
      <w:tr w:rsidR="00ED6790" w:rsidTr="00C71C9D">
        <w:tc>
          <w:tcPr>
            <w:tcW w:w="4531" w:type="dxa"/>
          </w:tcPr>
          <w:p w:rsidR="00C71C9D" w:rsidRPr="0053189A" w:rsidRDefault="00ED6790" w:rsidP="0053189A">
            <w:pPr>
              <w:spacing w:line="340" w:lineRule="exact"/>
              <w:jc w:val="both"/>
              <w:rPr>
                <w:rFonts w:ascii="標楷體" w:eastAsia="標楷體" w:hAnsi="標楷體"/>
                <w:sz w:val="28"/>
                <w:szCs w:val="28"/>
              </w:rPr>
            </w:pPr>
            <w:r w:rsidRPr="0053189A">
              <w:rPr>
                <w:rFonts w:ascii="標楷體" w:eastAsia="標楷體" w:hAnsi="標楷體" w:hint="eastAsia"/>
                <w:sz w:val="28"/>
                <w:szCs w:val="28"/>
              </w:rPr>
              <w:t>十一點第2項</w:t>
            </w:r>
          </w:p>
          <w:p w:rsidR="00ED6790" w:rsidRPr="0053189A" w:rsidRDefault="00ED6790" w:rsidP="0053189A">
            <w:pPr>
              <w:spacing w:line="340" w:lineRule="exact"/>
              <w:jc w:val="both"/>
              <w:rPr>
                <w:rFonts w:ascii="標楷體" w:eastAsia="標楷體" w:hAnsi="標楷體" w:hint="eastAsia"/>
                <w:sz w:val="28"/>
                <w:szCs w:val="28"/>
              </w:rPr>
            </w:pPr>
            <w:r w:rsidRPr="0053189A">
              <w:rPr>
                <w:rFonts w:ascii="標楷體" w:eastAsia="標楷體" w:hAnsi="標楷體" w:hint="eastAsia"/>
                <w:sz w:val="28"/>
                <w:szCs w:val="28"/>
              </w:rPr>
              <w:t>介聘學校或幼兒園於前項教評會審查時，發現教師確有教師法</w:t>
            </w:r>
            <w:r w:rsidRPr="0053189A">
              <w:rPr>
                <w:rFonts w:ascii="標楷體" w:eastAsia="標楷體" w:hAnsi="標楷體" w:hint="eastAsia"/>
                <w:sz w:val="28"/>
                <w:szCs w:val="28"/>
                <w:u w:val="single"/>
              </w:rPr>
              <w:t>第三十條</w:t>
            </w:r>
            <w:r w:rsidRPr="0053189A">
              <w:rPr>
                <w:rFonts w:ascii="標楷體" w:eastAsia="標楷體" w:hAnsi="標楷體" w:hint="eastAsia"/>
                <w:sz w:val="28"/>
                <w:szCs w:val="28"/>
              </w:rPr>
              <w:t>各款情事之一者，其聘任應不予通過。</w:t>
            </w:r>
          </w:p>
        </w:tc>
        <w:tc>
          <w:tcPr>
            <w:tcW w:w="4678" w:type="dxa"/>
          </w:tcPr>
          <w:p w:rsidR="00C71C9D" w:rsidRPr="0053189A" w:rsidRDefault="00ED6790" w:rsidP="0053189A">
            <w:pPr>
              <w:spacing w:line="340" w:lineRule="exact"/>
              <w:jc w:val="both"/>
              <w:rPr>
                <w:rFonts w:ascii="標楷體" w:eastAsia="標楷體" w:hAnsi="標楷體"/>
                <w:sz w:val="28"/>
                <w:szCs w:val="28"/>
              </w:rPr>
            </w:pPr>
            <w:r w:rsidRPr="0053189A">
              <w:rPr>
                <w:rFonts w:ascii="標楷體" w:eastAsia="標楷體" w:hAnsi="標楷體" w:hint="eastAsia"/>
                <w:sz w:val="28"/>
                <w:szCs w:val="28"/>
              </w:rPr>
              <w:t xml:space="preserve">十一點第2項 </w:t>
            </w:r>
          </w:p>
          <w:p w:rsidR="00ED6790" w:rsidRPr="0053189A" w:rsidRDefault="00ED6790" w:rsidP="0053189A">
            <w:pPr>
              <w:spacing w:line="340" w:lineRule="exact"/>
              <w:jc w:val="both"/>
              <w:rPr>
                <w:rFonts w:ascii="標楷體" w:eastAsia="標楷體" w:hAnsi="標楷體" w:hint="eastAsia"/>
                <w:sz w:val="28"/>
                <w:szCs w:val="28"/>
              </w:rPr>
            </w:pPr>
            <w:r w:rsidRPr="0053189A">
              <w:rPr>
                <w:rFonts w:ascii="標楷體" w:eastAsia="標楷體" w:hAnsi="標楷體" w:hint="eastAsia"/>
                <w:sz w:val="28"/>
                <w:szCs w:val="28"/>
              </w:rPr>
              <w:t>介聘學校或幼兒園於前項教評會審查時，發現教師確有教師法第十四條第一項各款情事之一者，其聘任得不予通過。</w:t>
            </w:r>
          </w:p>
        </w:tc>
        <w:tc>
          <w:tcPr>
            <w:tcW w:w="1559" w:type="dxa"/>
          </w:tcPr>
          <w:p w:rsidR="00ED6790" w:rsidRPr="0053189A" w:rsidRDefault="00ED6790" w:rsidP="0053189A">
            <w:pPr>
              <w:spacing w:line="340" w:lineRule="exact"/>
              <w:jc w:val="both"/>
              <w:rPr>
                <w:rFonts w:ascii="標楷體" w:eastAsia="標楷體" w:hAnsi="標楷體" w:hint="eastAsia"/>
                <w:sz w:val="28"/>
                <w:szCs w:val="28"/>
              </w:rPr>
            </w:pPr>
          </w:p>
        </w:tc>
      </w:tr>
      <w:tr w:rsidR="00ED6790" w:rsidTr="00C71C9D">
        <w:tc>
          <w:tcPr>
            <w:tcW w:w="4531" w:type="dxa"/>
          </w:tcPr>
          <w:p w:rsidR="00ED6790" w:rsidRPr="0053189A" w:rsidRDefault="00ED6790" w:rsidP="0053189A">
            <w:pPr>
              <w:spacing w:line="340" w:lineRule="exact"/>
              <w:jc w:val="both"/>
              <w:rPr>
                <w:rFonts w:ascii="標楷體" w:eastAsia="標楷體" w:hAnsi="標楷體" w:hint="eastAsia"/>
                <w:sz w:val="28"/>
                <w:szCs w:val="28"/>
              </w:rPr>
            </w:pPr>
            <w:r w:rsidRPr="0053189A">
              <w:rPr>
                <w:rFonts w:ascii="標楷體" w:eastAsia="標楷體" w:hAnsi="標楷體" w:hint="eastAsia"/>
                <w:sz w:val="28"/>
                <w:szCs w:val="28"/>
              </w:rPr>
              <w:t>十二、申請市內介聘之教師，不參加介聘學校或幼兒園教評會之審查，或經介聘學校或幼兒園教評會審查通過而不至該校報到者，該介聘失其效力，且於</w:t>
            </w:r>
            <w:r w:rsidRPr="0053189A">
              <w:rPr>
                <w:rFonts w:ascii="標楷體" w:eastAsia="標楷體" w:hAnsi="標楷體" w:hint="eastAsia"/>
                <w:sz w:val="28"/>
                <w:szCs w:val="28"/>
                <w:u w:val="single"/>
              </w:rPr>
              <w:t>十</w:t>
            </w:r>
            <w:r w:rsidRPr="0053189A">
              <w:rPr>
                <w:rFonts w:ascii="標楷體" w:eastAsia="標楷體" w:hAnsi="標楷體" w:hint="eastAsia"/>
                <w:sz w:val="28"/>
                <w:szCs w:val="28"/>
              </w:rPr>
              <w:t>年內不得再申請市內介聘，教師不得提出異議。</w:t>
            </w:r>
          </w:p>
        </w:tc>
        <w:tc>
          <w:tcPr>
            <w:tcW w:w="4678" w:type="dxa"/>
          </w:tcPr>
          <w:p w:rsidR="00ED6790" w:rsidRPr="0053189A" w:rsidRDefault="00ED6790" w:rsidP="0053189A">
            <w:pPr>
              <w:spacing w:line="340" w:lineRule="exact"/>
              <w:jc w:val="both"/>
              <w:rPr>
                <w:rFonts w:ascii="標楷體" w:eastAsia="標楷體" w:hAnsi="標楷體" w:hint="eastAsia"/>
                <w:sz w:val="28"/>
                <w:szCs w:val="28"/>
              </w:rPr>
            </w:pPr>
            <w:r w:rsidRPr="0053189A">
              <w:rPr>
                <w:rFonts w:ascii="標楷體" w:eastAsia="標楷體" w:hAnsi="標楷體" w:hint="eastAsia"/>
                <w:sz w:val="28"/>
                <w:szCs w:val="28"/>
              </w:rPr>
              <w:t>十二、申請市內介聘之教師，不參加介聘學校或幼兒園教評會之審查，或經介聘學校或幼兒園教評會審查通過而不至該校報到者，該介聘失其效力，且於五年內不得再申請市內介聘，教師不得提出異議。</w:t>
            </w:r>
          </w:p>
        </w:tc>
        <w:tc>
          <w:tcPr>
            <w:tcW w:w="1559" w:type="dxa"/>
          </w:tcPr>
          <w:p w:rsidR="00ED6790" w:rsidRPr="0053189A" w:rsidRDefault="00ED6790" w:rsidP="0053189A">
            <w:pPr>
              <w:spacing w:line="340" w:lineRule="exact"/>
              <w:jc w:val="both"/>
              <w:rPr>
                <w:rFonts w:ascii="標楷體" w:eastAsia="標楷體" w:hAnsi="標楷體" w:hint="eastAsia"/>
                <w:sz w:val="28"/>
                <w:szCs w:val="28"/>
              </w:rPr>
            </w:pPr>
          </w:p>
        </w:tc>
      </w:tr>
    </w:tbl>
    <w:p w:rsidR="00ED6790" w:rsidRDefault="00ED6790" w:rsidP="00ED6790">
      <w:pPr>
        <w:rPr>
          <w:rFonts w:hint="eastAsia"/>
        </w:rPr>
      </w:pPr>
    </w:p>
    <w:sectPr w:rsidR="00ED6790" w:rsidSect="00ED6790">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90"/>
    <w:rsid w:val="0053189A"/>
    <w:rsid w:val="00C71C9D"/>
    <w:rsid w:val="00C9545A"/>
    <w:rsid w:val="00ED67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73B5C-4DB8-414B-BF55-BFD45D6E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6790"/>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ED6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2020-12-10T05:45:00Z</dcterms:created>
  <dcterms:modified xsi:type="dcterms:W3CDTF">2020-12-10T06:04:00Z</dcterms:modified>
</cp:coreProperties>
</file>